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B4A" w:rsidRPr="0083773E" w:rsidRDefault="00236B4A" w:rsidP="00E95BA9">
      <w:pPr>
        <w:spacing w:line="240" w:lineRule="auto"/>
        <w:jc w:val="center"/>
        <w:rPr>
          <w:b/>
          <w:sz w:val="28"/>
          <w:szCs w:val="28"/>
        </w:rPr>
      </w:pPr>
      <w:r w:rsidRPr="00E95BA9">
        <w:rPr>
          <w:rStyle w:val="EndnoteReference"/>
          <w:b/>
          <w:color w:val="FFFFFF"/>
          <w:sz w:val="28"/>
          <w:szCs w:val="28"/>
        </w:rPr>
        <w:endnoteReference w:id="1"/>
      </w:r>
      <w:r w:rsidRPr="0083773E">
        <w:rPr>
          <w:b/>
          <w:sz w:val="28"/>
          <w:szCs w:val="28"/>
        </w:rPr>
        <w:t>Notes de programme</w:t>
      </w:r>
    </w:p>
    <w:p w:rsidR="00236B4A" w:rsidRPr="0083773E" w:rsidRDefault="00236B4A" w:rsidP="0083773E">
      <w:pPr>
        <w:spacing w:line="240" w:lineRule="auto"/>
        <w:jc w:val="center"/>
        <w:rPr>
          <w:b/>
          <w:sz w:val="28"/>
          <w:szCs w:val="28"/>
        </w:rPr>
      </w:pPr>
      <w:r w:rsidRPr="0083773E">
        <w:rPr>
          <w:b/>
          <w:sz w:val="28"/>
          <w:szCs w:val="28"/>
        </w:rPr>
        <w:t>Concert de saxophone à l’UQAM</w:t>
      </w:r>
    </w:p>
    <w:p w:rsidR="00236B4A" w:rsidRPr="0083773E" w:rsidRDefault="00236B4A" w:rsidP="0083773E">
      <w:pPr>
        <w:spacing w:line="240" w:lineRule="auto"/>
        <w:jc w:val="center"/>
        <w:rPr>
          <w:b/>
          <w:color w:val="FF0000"/>
          <w:sz w:val="28"/>
          <w:szCs w:val="28"/>
        </w:rPr>
      </w:pPr>
      <w:r w:rsidRPr="0083773E">
        <w:rPr>
          <w:b/>
          <w:sz w:val="28"/>
          <w:szCs w:val="28"/>
        </w:rPr>
        <w:t>14 décembre 2017 – 13h00 UQAM, F- 3560</w:t>
      </w:r>
    </w:p>
    <w:p w:rsidR="00236B4A" w:rsidRPr="00CA0296" w:rsidRDefault="00236B4A" w:rsidP="0083773E">
      <w:pPr>
        <w:jc w:val="center"/>
        <w:rPr>
          <w:b/>
          <w:sz w:val="28"/>
          <w:szCs w:val="28"/>
        </w:rPr>
      </w:pPr>
      <w:r w:rsidRPr="00CA0296">
        <w:rPr>
          <w:b/>
          <w:sz w:val="28"/>
          <w:szCs w:val="28"/>
        </w:rPr>
        <w:t>Par</w:t>
      </w:r>
    </w:p>
    <w:p w:rsidR="00236B4A" w:rsidRPr="00CA0296" w:rsidRDefault="00236B4A" w:rsidP="0083773E">
      <w:pPr>
        <w:jc w:val="center"/>
        <w:rPr>
          <w:b/>
          <w:sz w:val="28"/>
          <w:szCs w:val="28"/>
        </w:rPr>
      </w:pPr>
      <w:r w:rsidRPr="00CA0296">
        <w:rPr>
          <w:b/>
          <w:sz w:val="28"/>
          <w:szCs w:val="28"/>
        </w:rPr>
        <w:t>Francis Venne</w:t>
      </w:r>
    </w:p>
    <w:p w:rsidR="00236B4A" w:rsidRDefault="00236B4A" w:rsidP="0083773E">
      <w:pPr>
        <w:rPr>
          <w:rFonts w:cs="Arial"/>
          <w:b/>
          <w:bCs/>
          <w:color w:val="222222"/>
          <w:sz w:val="24"/>
          <w:szCs w:val="24"/>
          <w:u w:val="single"/>
          <w:shd w:val="clear" w:color="auto" w:fill="FFFFFF"/>
        </w:rPr>
      </w:pPr>
    </w:p>
    <w:p w:rsidR="00236B4A" w:rsidRPr="00CA0296" w:rsidRDefault="00236B4A" w:rsidP="0083773E">
      <w:pPr>
        <w:rPr>
          <w:rFonts w:cs="Arial"/>
          <w:bCs/>
          <w:color w:val="222222"/>
          <w:sz w:val="24"/>
          <w:szCs w:val="24"/>
          <w:shd w:val="clear" w:color="auto" w:fill="FFFFFF"/>
        </w:rPr>
      </w:pPr>
      <w:r w:rsidRPr="00846C03">
        <w:rPr>
          <w:rFonts w:cs="Arial"/>
          <w:noProof/>
          <w:color w:val="222222"/>
          <w:sz w:val="24"/>
          <w:szCs w:val="24"/>
          <w:shd w:val="clear" w:color="auto" w:fill="FFFFFF"/>
          <w:lang w:val="fr-FR"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i1025" type="#_x0000_t75" style="width:430.8pt;height:430.8pt;visibility:visible">
            <v:imagedata r:id="rId7" o:title=""/>
          </v:shape>
        </w:pict>
      </w:r>
    </w:p>
    <w:p w:rsidR="00236B4A" w:rsidRDefault="00236B4A" w:rsidP="0083773E">
      <w:pPr>
        <w:rPr>
          <w:rFonts w:cs="Arial"/>
          <w:b/>
          <w:bCs/>
          <w:color w:val="222222"/>
          <w:sz w:val="24"/>
          <w:szCs w:val="24"/>
          <w:u w:val="single"/>
          <w:shd w:val="clear" w:color="auto" w:fill="FFFFFF"/>
        </w:rPr>
      </w:pPr>
    </w:p>
    <w:p w:rsidR="00236B4A" w:rsidRPr="00E95BA9" w:rsidRDefault="00236B4A" w:rsidP="0083773E">
      <w:pPr>
        <w:rPr>
          <w:b/>
          <w:u w:val="single"/>
        </w:rPr>
      </w:pPr>
      <w:r w:rsidRPr="00E95BA9">
        <w:rPr>
          <w:rFonts w:cs="Arial"/>
          <w:b/>
          <w:bCs/>
          <w:color w:val="222222"/>
          <w:u w:val="single"/>
          <w:shd w:val="clear" w:color="auto" w:fill="FFFFFF"/>
        </w:rPr>
        <w:t xml:space="preserve">Modeste Petrovitch Moussorgski – </w:t>
      </w:r>
      <w:r w:rsidRPr="00E95BA9">
        <w:rPr>
          <w:rFonts w:cs="Arial"/>
          <w:b/>
          <w:u w:val="single"/>
          <w:shd w:val="clear" w:color="auto" w:fill="FFFFFF"/>
        </w:rPr>
        <w:t>Tableaux d’une exposition, 2</w:t>
      </w:r>
      <w:r w:rsidRPr="00E95BA9">
        <w:rPr>
          <w:rFonts w:cs="Arial"/>
          <w:b/>
          <w:u w:val="single"/>
          <w:shd w:val="clear" w:color="auto" w:fill="FFFFFF"/>
          <w:vertAlign w:val="superscript"/>
        </w:rPr>
        <w:t>e</w:t>
      </w:r>
      <w:r w:rsidRPr="00E95BA9">
        <w:rPr>
          <w:rFonts w:cs="Arial"/>
          <w:b/>
          <w:u w:val="single"/>
          <w:shd w:val="clear" w:color="auto" w:fill="FFFFFF"/>
        </w:rPr>
        <w:t xml:space="preserve"> mouvement</w:t>
      </w:r>
    </w:p>
    <w:p w:rsidR="00236B4A" w:rsidRPr="00E95BA9" w:rsidRDefault="00236B4A" w:rsidP="0083773E">
      <w:pPr>
        <w:tabs>
          <w:tab w:val="left" w:pos="2445"/>
          <w:tab w:val="center" w:pos="4320"/>
        </w:tabs>
        <w:jc w:val="both"/>
        <w:rPr>
          <w:rFonts w:cs="Arial"/>
          <w:shd w:val="clear" w:color="auto" w:fill="FFFFFF"/>
        </w:rPr>
      </w:pPr>
      <w:r>
        <w:rPr>
          <w:noProof/>
          <w:lang w:val="fr-FR" w:eastAsia="fr-FR"/>
        </w:rPr>
        <w:pict>
          <v:shape id="Image 2" o:spid="_x0000_s1026" type="#_x0000_t75" style="position:absolute;left:0;text-align:left;margin-left:3.75pt;margin-top:30pt;width:70.3pt;height:82.5pt;z-index:251658240;visibility:visible;mso-position-horizontal-relative:margin;mso-position-vertical-relative:margin">
            <v:imagedata r:id="rId8" o:title=""/>
            <w10:wrap type="square" anchorx="margin" anchory="margin"/>
          </v:shape>
        </w:pict>
      </w:r>
      <w:r w:rsidRPr="00E95BA9">
        <w:rPr>
          <w:rFonts w:cs="Arial"/>
          <w:shd w:val="clear" w:color="auto" w:fill="FFFFFF"/>
        </w:rPr>
        <w:t xml:space="preserve">Moussorgski </w:t>
      </w:r>
      <w:r w:rsidRPr="00E95BA9">
        <w:rPr>
          <w:rFonts w:cs="Arial"/>
          <w:bCs/>
          <w:color w:val="222222"/>
          <w:shd w:val="clear" w:color="auto" w:fill="FFFFFF"/>
        </w:rPr>
        <w:t>(1839-1881)</w:t>
      </w:r>
      <w:r w:rsidRPr="00E95BA9">
        <w:rPr>
          <w:rFonts w:cs="Arial"/>
          <w:shd w:val="clear" w:color="auto" w:fill="FFFFFF"/>
        </w:rPr>
        <w:t xml:space="preserve"> est né à Karevo, près de Toropets</w:t>
      </w:r>
      <w:r w:rsidRPr="00E95BA9">
        <w:t xml:space="preserve"> et meurt </w:t>
      </w:r>
      <w:r w:rsidRPr="00E95BA9">
        <w:rPr>
          <w:rFonts w:cs="Arial"/>
          <w:shd w:val="clear" w:color="auto" w:fill="FFFFFF"/>
        </w:rPr>
        <w:t xml:space="preserve">à Saint-Pétersbourg. C’est un compositeur russe. </w:t>
      </w:r>
      <w:r w:rsidRPr="00E95BA9">
        <w:rPr>
          <w:rFonts w:cs="Arial"/>
          <w:i/>
          <w:shd w:val="clear" w:color="auto" w:fill="FFFFFF"/>
        </w:rPr>
        <w:t>Tableaux d’une exposition</w:t>
      </w:r>
      <w:r w:rsidRPr="00E95BA9">
        <w:rPr>
          <w:rFonts w:cs="Arial"/>
          <w:shd w:val="clear" w:color="auto" w:fill="FFFFFF"/>
        </w:rPr>
        <w:t xml:space="preserve"> (1874) est l’une des pièces qui l’a rendu connu. Sa famille descend du premier monarque russe, Rurik. Moussorgski quitte la garde royale pour rejoindre le Groupe des cinq, des compositeurs qui défendent la musique populaire russe. </w:t>
      </w:r>
    </w:p>
    <w:p w:rsidR="00236B4A" w:rsidRPr="00E95BA9" w:rsidRDefault="00236B4A" w:rsidP="0083773E">
      <w:pPr>
        <w:tabs>
          <w:tab w:val="left" w:pos="2445"/>
          <w:tab w:val="center" w:pos="4320"/>
        </w:tabs>
        <w:jc w:val="both"/>
        <w:rPr>
          <w:rFonts w:cs="Arial"/>
          <w:shd w:val="clear" w:color="auto" w:fill="FFFFFF"/>
        </w:rPr>
      </w:pPr>
      <w:r w:rsidRPr="00E95BA9">
        <w:rPr>
          <w:rFonts w:cs="Arial"/>
          <w:i/>
          <w:shd w:val="clear" w:color="auto" w:fill="FFFFFF"/>
        </w:rPr>
        <w:t xml:space="preserve">Tableaux d’une exposition </w:t>
      </w:r>
      <w:r w:rsidRPr="00E95BA9">
        <w:rPr>
          <w:rFonts w:cs="Arial"/>
          <w:shd w:val="clear" w:color="auto" w:fill="FFFFFF"/>
        </w:rPr>
        <w:t>a été dédié à Vladimir Stassov, critique d’art et journaliste. Cette œuvre comporte 10 mouvements. Je vais jouer le 2</w:t>
      </w:r>
      <w:r w:rsidRPr="00E95BA9">
        <w:rPr>
          <w:rFonts w:cs="Arial"/>
          <w:shd w:val="clear" w:color="auto" w:fill="FFFFFF"/>
          <w:vertAlign w:val="superscript"/>
        </w:rPr>
        <w:t>e</w:t>
      </w:r>
      <w:r w:rsidRPr="00E95BA9">
        <w:rPr>
          <w:rFonts w:cs="Arial"/>
          <w:shd w:val="clear" w:color="auto" w:fill="FFFFFF"/>
        </w:rPr>
        <w:t xml:space="preserve"> mouvement intitulé : </w:t>
      </w:r>
      <w:r w:rsidRPr="00E95BA9">
        <w:rPr>
          <w:rFonts w:cs="Arial"/>
          <w:i/>
          <w:shd w:val="clear" w:color="auto" w:fill="FFFFFF"/>
        </w:rPr>
        <w:t xml:space="preserve">Vecchio Castello. </w:t>
      </w:r>
      <w:r w:rsidRPr="00E95BA9">
        <w:rPr>
          <w:rFonts w:cs="Arial"/>
          <w:shd w:val="clear" w:color="auto" w:fill="FFFFFF"/>
        </w:rPr>
        <w:t xml:space="preserve"> Ce mouvement</w:t>
      </w:r>
      <w:r>
        <w:rPr>
          <w:rFonts w:cs="Arial"/>
          <w:shd w:val="clear" w:color="auto" w:fill="FFFFFF"/>
        </w:rPr>
        <w:t>,</w:t>
      </w:r>
      <w:r w:rsidRPr="00E95BA9">
        <w:rPr>
          <w:rFonts w:cs="Arial"/>
          <w:shd w:val="clear" w:color="auto" w:fill="FFFFFF"/>
        </w:rPr>
        <w:t xml:space="preserve"> comportant une mélodie mélancolique</w:t>
      </w:r>
      <w:r>
        <w:rPr>
          <w:rFonts w:cs="Arial"/>
          <w:shd w:val="clear" w:color="auto" w:fill="FFFFFF"/>
        </w:rPr>
        <w:t>,</w:t>
      </w:r>
      <w:r w:rsidRPr="00E95BA9">
        <w:rPr>
          <w:rFonts w:cs="Arial"/>
          <w:shd w:val="clear" w:color="auto" w:fill="FFFFFF"/>
        </w:rPr>
        <w:t xml:space="preserve"> évoque l’angoisse et le chagrin. Dans ce mouvement, la mélodie appartient seulement au saxophone alto et c’est son unique apparition dans tout le cycle. La finale résonne comme un adieu.</w:t>
      </w:r>
    </w:p>
    <w:p w:rsidR="00236B4A" w:rsidRPr="00E95BA9" w:rsidRDefault="00236B4A" w:rsidP="0083773E">
      <w:pPr>
        <w:tabs>
          <w:tab w:val="left" w:pos="2445"/>
          <w:tab w:val="center" w:pos="4320"/>
        </w:tabs>
        <w:jc w:val="both"/>
        <w:rPr>
          <w:rFonts w:cs="Arial"/>
          <w:shd w:val="clear" w:color="auto" w:fill="FFFFFF"/>
        </w:rPr>
      </w:pPr>
    </w:p>
    <w:p w:rsidR="00236B4A" w:rsidRPr="00E95BA9" w:rsidRDefault="00236B4A" w:rsidP="0083773E">
      <w:pPr>
        <w:rPr>
          <w:b/>
          <w:u w:val="single"/>
        </w:rPr>
      </w:pPr>
      <w:r w:rsidRPr="00E95BA9">
        <w:rPr>
          <w:b/>
          <w:u w:val="single"/>
        </w:rPr>
        <w:t xml:space="preserve">Marius Constant </w:t>
      </w:r>
      <w:r w:rsidRPr="00E95BA9">
        <w:rPr>
          <w:rFonts w:cs="Arial"/>
          <w:b/>
          <w:bCs/>
          <w:color w:val="222222"/>
          <w:u w:val="single"/>
          <w:shd w:val="clear" w:color="auto" w:fill="FFFFFF"/>
        </w:rPr>
        <w:t>–</w:t>
      </w:r>
      <w:r w:rsidRPr="00E95BA9">
        <w:rPr>
          <w:b/>
          <w:u w:val="single"/>
        </w:rPr>
        <w:t xml:space="preserve"> Concertante pour saxophone alto et orchestre, 2</w:t>
      </w:r>
      <w:r w:rsidRPr="00E95BA9">
        <w:rPr>
          <w:b/>
          <w:u w:val="single"/>
          <w:vertAlign w:val="superscript"/>
        </w:rPr>
        <w:t>e</w:t>
      </w:r>
      <w:r w:rsidRPr="00E95BA9">
        <w:rPr>
          <w:b/>
          <w:u w:val="single"/>
        </w:rPr>
        <w:t xml:space="preserve"> mouvement</w:t>
      </w:r>
    </w:p>
    <w:p w:rsidR="00236B4A" w:rsidRPr="00E95BA9" w:rsidRDefault="00236B4A" w:rsidP="0083773E">
      <w:pPr>
        <w:tabs>
          <w:tab w:val="left" w:pos="2445"/>
          <w:tab w:val="center" w:pos="4320"/>
        </w:tabs>
        <w:jc w:val="both"/>
        <w:rPr>
          <w:i/>
          <w:lang w:val="fr-FR"/>
        </w:rPr>
      </w:pPr>
      <w:r>
        <w:rPr>
          <w:noProof/>
          <w:lang w:val="fr-FR" w:eastAsia="fr-FR"/>
        </w:rPr>
        <w:pict>
          <v:shape id="Image 3" o:spid="_x0000_s1027" type="#_x0000_t75" style="position:absolute;left:0;text-align:left;margin-left:3pt;margin-top:254.95pt;width:85.35pt;height:92.25pt;z-index:251659264;visibility:visible;mso-position-horizontal-relative:margin;mso-position-vertical-relative:margin">
            <v:imagedata r:id="rId9" o:title=""/>
            <w10:wrap type="square" anchorx="margin" anchory="margin"/>
          </v:shape>
        </w:pict>
      </w:r>
      <w:r w:rsidRPr="00E95BA9">
        <w:rPr>
          <w:lang w:val="fr-FR"/>
        </w:rPr>
        <w:t xml:space="preserve">Constant </w:t>
      </w:r>
      <w:r w:rsidRPr="00E95BA9">
        <w:t>(1925-2004)</w:t>
      </w:r>
      <w:r w:rsidRPr="00E95BA9">
        <w:rPr>
          <w:lang w:val="fr-FR"/>
        </w:rPr>
        <w:t xml:space="preserve"> est un compositeur et chef d’orchestre français d’origine roumaine. Il est né Bucarest en 1925 et meurt à Paris en 2004. C’est au conservatoire de Paris qu’il fait ses études de piano et de composition. Il est devenu célèbre aux États-Unis lorsqu’il a composé deux musiques qui ont servi comme thème principal pour le générique du début et de fin de la série </w:t>
      </w:r>
      <w:r w:rsidRPr="00E95BA9">
        <w:rPr>
          <w:i/>
          <w:lang w:val="fr-FR"/>
        </w:rPr>
        <w:t>La Quatrième Dimension.</w:t>
      </w:r>
      <w:r w:rsidRPr="00E95BA9">
        <w:rPr>
          <w:b/>
          <w:noProof/>
          <w:u w:val="single"/>
          <w:lang w:eastAsia="fr-CA"/>
        </w:rPr>
        <w:t xml:space="preserve"> </w:t>
      </w:r>
    </w:p>
    <w:p w:rsidR="00236B4A" w:rsidRPr="00E95BA9" w:rsidRDefault="00236B4A" w:rsidP="0083773E">
      <w:pPr>
        <w:tabs>
          <w:tab w:val="left" w:pos="2445"/>
          <w:tab w:val="center" w:pos="4320"/>
        </w:tabs>
        <w:jc w:val="both"/>
        <w:rPr>
          <w:b/>
          <w:noProof/>
          <w:u w:val="single"/>
          <w:lang w:eastAsia="fr-CA"/>
        </w:rPr>
      </w:pPr>
      <w:r w:rsidRPr="00E95BA9">
        <w:rPr>
          <w:lang w:val="fr-FR"/>
        </w:rPr>
        <w:t xml:space="preserve">La </w:t>
      </w:r>
      <w:r w:rsidRPr="00E95BA9">
        <w:rPr>
          <w:i/>
          <w:lang w:val="fr-FR"/>
        </w:rPr>
        <w:t xml:space="preserve">Concertante </w:t>
      </w:r>
      <w:r w:rsidRPr="00E95BA9">
        <w:rPr>
          <w:lang w:val="fr-FR"/>
        </w:rPr>
        <w:t>est une magnifique pièce écrite pour orchestre et saxophone. Je  vais interpréter le 2</w:t>
      </w:r>
      <w:r w:rsidRPr="00E95BA9">
        <w:rPr>
          <w:vertAlign w:val="superscript"/>
          <w:lang w:val="fr-FR"/>
        </w:rPr>
        <w:t>e</w:t>
      </w:r>
      <w:r w:rsidRPr="00E95BA9">
        <w:rPr>
          <w:lang w:val="fr-FR"/>
        </w:rPr>
        <w:t xml:space="preserve"> mouvement nommé : </w:t>
      </w:r>
      <w:r w:rsidRPr="00E95BA9">
        <w:rPr>
          <w:i/>
          <w:lang w:val="fr-FR"/>
        </w:rPr>
        <w:t xml:space="preserve">Tempo di Cake-Walk. </w:t>
      </w:r>
      <w:r w:rsidRPr="00E95BA9">
        <w:rPr>
          <w:lang w:val="fr-FR"/>
        </w:rPr>
        <w:t>L’orchestration de cette œuvre implique beaucoup d’effet</w:t>
      </w:r>
      <w:r>
        <w:rPr>
          <w:lang w:val="fr-FR"/>
        </w:rPr>
        <w:t>s</w:t>
      </w:r>
      <w:r w:rsidRPr="00E95BA9">
        <w:rPr>
          <w:lang w:val="fr-FR"/>
        </w:rPr>
        <w:t xml:space="preserve"> produit</w:t>
      </w:r>
      <w:r>
        <w:rPr>
          <w:lang w:val="fr-FR"/>
        </w:rPr>
        <w:t>s</w:t>
      </w:r>
      <w:r w:rsidRPr="00E95BA9">
        <w:rPr>
          <w:lang w:val="fr-FR"/>
        </w:rPr>
        <w:t xml:space="preserve"> par l’ensemble dont les arrangeurs ne peuvent transférer au piano. </w:t>
      </w:r>
      <w:r w:rsidRPr="00E95BA9">
        <w:t>Le Cake-Walk est né d’une danse populaire en Virginie par la population noire. Ce rythme fut repris par le ragtime. Son nom provient des esclaves noirs. Les dimanches, lorsque leurs maîtres étaient absents, les esclaves dansaient et les colons qui assistaient à ces rendez-vous offraient aux meilleurs danseurs un gâteau (marche du gâteau).</w:t>
      </w:r>
      <w:r w:rsidRPr="00E95BA9">
        <w:rPr>
          <w:b/>
          <w:noProof/>
          <w:u w:val="single"/>
          <w:lang w:eastAsia="fr-CA"/>
        </w:rPr>
        <w:t xml:space="preserve"> </w:t>
      </w:r>
    </w:p>
    <w:p w:rsidR="00236B4A" w:rsidRPr="00E95BA9" w:rsidRDefault="00236B4A" w:rsidP="0083773E">
      <w:pPr>
        <w:tabs>
          <w:tab w:val="left" w:pos="2445"/>
          <w:tab w:val="center" w:pos="4320"/>
        </w:tabs>
        <w:jc w:val="both"/>
      </w:pPr>
    </w:p>
    <w:p w:rsidR="00236B4A" w:rsidRPr="00E95BA9" w:rsidRDefault="00236B4A" w:rsidP="0083773E">
      <w:pPr>
        <w:rPr>
          <w:b/>
          <w:u w:val="single"/>
        </w:rPr>
      </w:pPr>
      <w:r w:rsidRPr="00E95BA9">
        <w:rPr>
          <w:b/>
          <w:u w:val="single"/>
          <w:lang w:val="fr-FR"/>
        </w:rPr>
        <w:t xml:space="preserve">William Albright – </w:t>
      </w:r>
      <w:r w:rsidRPr="00E95BA9">
        <w:rPr>
          <w:b/>
          <w:u w:val="single"/>
        </w:rPr>
        <w:t>Sonata pour saxophone et piano, 2</w:t>
      </w:r>
      <w:r w:rsidRPr="00E95BA9">
        <w:rPr>
          <w:b/>
          <w:u w:val="single"/>
          <w:vertAlign w:val="superscript"/>
        </w:rPr>
        <w:t>e</w:t>
      </w:r>
      <w:r w:rsidRPr="00E95BA9">
        <w:rPr>
          <w:b/>
          <w:u w:val="single"/>
        </w:rPr>
        <w:t xml:space="preserve"> mouvement</w:t>
      </w:r>
    </w:p>
    <w:p w:rsidR="00236B4A" w:rsidRPr="00E95BA9" w:rsidRDefault="00236B4A" w:rsidP="0083773E">
      <w:pPr>
        <w:tabs>
          <w:tab w:val="left" w:pos="2445"/>
          <w:tab w:val="center" w:pos="4320"/>
        </w:tabs>
        <w:jc w:val="both"/>
        <w:rPr>
          <w:lang w:val="fr-FR"/>
        </w:rPr>
      </w:pPr>
      <w:r>
        <w:rPr>
          <w:noProof/>
          <w:lang w:val="fr-FR" w:eastAsia="fr-FR"/>
        </w:rPr>
        <w:pict>
          <v:shape id="Image 4" o:spid="_x0000_s1028" type="#_x0000_t75" style="position:absolute;left:0;text-align:left;margin-left:0;margin-top:525.7pt;width:82.5pt;height:98.2pt;z-index:251660288;visibility:visible;mso-position-horizontal-relative:margin;mso-position-vertical-relative:margin">
            <v:imagedata r:id="rId10" o:title=""/>
            <w10:wrap type="square" anchorx="margin" anchory="margin"/>
          </v:shape>
        </w:pict>
      </w:r>
      <w:r w:rsidRPr="00E95BA9">
        <w:rPr>
          <w:lang w:val="fr-FR"/>
        </w:rPr>
        <w:t>Albright (1944-1998) est un compositeur, pianiste et organiste américain qui est né à Gary en Indiana et qui est mort au Michigan. Il a créé plus de trente œuvres. Il se donnait en concert aux États-Unis, en Europe et au Canada. Il débute ses études à l’âge de 15 à l’Institut préparatoire Julliard. Ensuite il se dirige à l’Université du Michigan. Dans ses dernières œuvres, il combine rythmes complexes, atonalité, éléments de jazz et ragtime, minimalisme et musiques non occidentales.</w:t>
      </w:r>
    </w:p>
    <w:p w:rsidR="00236B4A" w:rsidRPr="00E95BA9" w:rsidRDefault="00236B4A" w:rsidP="0083773E">
      <w:pPr>
        <w:tabs>
          <w:tab w:val="left" w:pos="2445"/>
          <w:tab w:val="center" w:pos="4320"/>
        </w:tabs>
        <w:jc w:val="both"/>
      </w:pPr>
      <w:r w:rsidRPr="00E95BA9">
        <w:t xml:space="preserve">La </w:t>
      </w:r>
      <w:r w:rsidRPr="00E95BA9">
        <w:rPr>
          <w:i/>
        </w:rPr>
        <w:t>Sonate pour saxophone et piano</w:t>
      </w:r>
      <w:r>
        <w:t xml:space="preserve"> </w:t>
      </w:r>
      <w:r w:rsidRPr="00E95BA9">
        <w:t xml:space="preserve">(1984) </w:t>
      </w:r>
      <w:r>
        <w:t>d’Albright</w:t>
      </w:r>
      <w:r w:rsidRPr="00E95BA9">
        <w:t xml:space="preserve"> est très contrastante: minimalisme, atonalité libre, be-bop, lyrisme élégiaque et force brutale. </w:t>
      </w:r>
      <w:r w:rsidRPr="00E95BA9">
        <w:rPr>
          <w:lang w:val="fr-FR"/>
        </w:rPr>
        <w:t xml:space="preserve">Elle se divise en 4 mouvements. J’interpréterai uniquement le deuxième : </w:t>
      </w:r>
      <w:r w:rsidRPr="00E95BA9">
        <w:rPr>
          <w:i/>
          <w:lang w:val="fr-FR"/>
        </w:rPr>
        <w:t xml:space="preserve">La follia nuova. </w:t>
      </w:r>
      <w:r w:rsidRPr="00E95BA9">
        <w:rPr>
          <w:lang w:val="fr-FR"/>
        </w:rPr>
        <w:t xml:space="preserve">Ce mouvement a été dédié à G. Cacioppo qui est décédé subitement en 1984. La lamentation de ce mouvement fait référence à la mort de Didon dans </w:t>
      </w:r>
      <w:r w:rsidRPr="00173685">
        <w:rPr>
          <w:i/>
        </w:rPr>
        <w:t>Didon et Enée</w:t>
      </w:r>
      <w:r w:rsidRPr="00E95BA9">
        <w:t xml:space="preserve"> de Purcell.</w:t>
      </w:r>
      <w:bookmarkStart w:id="0" w:name="_GoBack"/>
      <w:bookmarkEnd w:id="0"/>
    </w:p>
    <w:p w:rsidR="00236B4A" w:rsidRPr="00E95BA9" w:rsidRDefault="00236B4A" w:rsidP="0083773E">
      <w:pPr>
        <w:tabs>
          <w:tab w:val="left" w:pos="2445"/>
          <w:tab w:val="center" w:pos="4320"/>
        </w:tabs>
        <w:jc w:val="both"/>
      </w:pPr>
    </w:p>
    <w:p w:rsidR="00236B4A" w:rsidRPr="00E95BA9" w:rsidRDefault="00236B4A" w:rsidP="0083773E">
      <w:pPr>
        <w:rPr>
          <w:b/>
          <w:u w:val="single"/>
        </w:rPr>
      </w:pPr>
      <w:r w:rsidRPr="00E95BA9">
        <w:rPr>
          <w:b/>
          <w:u w:val="single"/>
        </w:rPr>
        <w:t>Ma biographie</w:t>
      </w:r>
    </w:p>
    <w:p w:rsidR="00236B4A" w:rsidRPr="00E95BA9" w:rsidRDefault="00236B4A" w:rsidP="004475C8">
      <w:pPr>
        <w:jc w:val="both"/>
      </w:pPr>
      <w:r>
        <w:rPr>
          <w:noProof/>
          <w:lang w:val="fr-FR" w:eastAsia="fr-FR"/>
        </w:rPr>
        <w:pict>
          <v:shape id="Image 6" o:spid="_x0000_s1029" type="#_x0000_t75" style="position:absolute;left:0;text-align:left;margin-left:1.5pt;margin-top:139.5pt;width:56.3pt;height:81pt;z-index:251661312;visibility:visible;mso-position-horizontal-relative:margin;mso-position-vertical-relative:margin">
            <v:imagedata r:id="rId11" o:title=""/>
            <w10:wrap type="square" anchorx="margin" anchory="margin"/>
          </v:shape>
        </w:pict>
      </w:r>
      <w:r w:rsidRPr="00E95BA9">
        <w:t xml:space="preserve">J’ai vécu dans un petit village nommé Saint-Ambroise de Kildare près de la ville de Joliette. N’étant pas né dans une famille de musicien, c’est en secondaire 1 à l’école Thérèse-Martin à Joliette que je m’ouvre sur la musique en tant que saxophoniste auprès de Christian Dubé. Je me suis dirigé vers le Cégep régional de Lanaudière à Joliette, où j’ai fait mon préuniversitaire. Durant ma première année en jazz, j’ai été sous l’aile de Michel Éthier. Dans ma deuxième année en classique, c’est auprès de Samuel Blais que j’ai étudié le saxophone. Je suis actuellement à l’Université du Québec à Montréal en enseignement de la musique. J’approfondis ma connaissance classique et j’explore le répertoire moderne et contemporain au saxophone auprès de Mathieu Gaulin. </w:t>
      </w:r>
    </w:p>
    <w:p w:rsidR="00236B4A" w:rsidRDefault="00236B4A" w:rsidP="004475C8">
      <w:pPr>
        <w:jc w:val="both"/>
        <w:rPr>
          <w:b/>
          <w:u w:val="single"/>
        </w:rPr>
      </w:pPr>
    </w:p>
    <w:p w:rsidR="00236B4A" w:rsidRPr="00E95BA9" w:rsidRDefault="00236B4A" w:rsidP="004475C8">
      <w:pPr>
        <w:jc w:val="both"/>
        <w:rPr>
          <w:b/>
          <w:u w:val="single"/>
        </w:rPr>
      </w:pPr>
    </w:p>
    <w:p w:rsidR="00236B4A" w:rsidRPr="00E95BA9" w:rsidRDefault="00236B4A" w:rsidP="004475C8">
      <w:pPr>
        <w:jc w:val="both"/>
        <w:rPr>
          <w:b/>
          <w:u w:val="single"/>
        </w:rPr>
      </w:pPr>
      <w:r w:rsidRPr="00E95BA9">
        <w:rPr>
          <w:b/>
          <w:u w:val="single"/>
        </w:rPr>
        <w:t>Remerciements</w:t>
      </w:r>
    </w:p>
    <w:p w:rsidR="00236B4A" w:rsidRPr="00E95BA9" w:rsidRDefault="00236B4A" w:rsidP="00153383">
      <w:pPr>
        <w:pStyle w:val="ListParagraph"/>
        <w:numPr>
          <w:ilvl w:val="0"/>
          <w:numId w:val="1"/>
        </w:numPr>
        <w:jc w:val="both"/>
      </w:pPr>
      <w:r w:rsidRPr="00E95BA9">
        <w:t>À Mathieu Gaulin, pour m’avoir donné l’opportunité de me surpasser en choisissant un répertoire relevant un grand défi.</w:t>
      </w:r>
    </w:p>
    <w:p w:rsidR="00236B4A" w:rsidRDefault="00236B4A" w:rsidP="00153383">
      <w:pPr>
        <w:pStyle w:val="ListParagraph"/>
        <w:numPr>
          <w:ilvl w:val="0"/>
          <w:numId w:val="1"/>
        </w:numPr>
        <w:jc w:val="both"/>
      </w:pPr>
      <w:r w:rsidRPr="00E95BA9">
        <w:t>À Valérie Dallaire, pour s’être montrée patiente et  pour m’avoir aidée à interpréter ces œuvres.</w:t>
      </w:r>
    </w:p>
    <w:p w:rsidR="00236B4A" w:rsidRDefault="00236B4A" w:rsidP="00E95BA9">
      <w:pPr>
        <w:jc w:val="both"/>
      </w:pPr>
    </w:p>
    <w:p w:rsidR="00236B4A" w:rsidRDefault="00236B4A" w:rsidP="00E95BA9">
      <w:pPr>
        <w:jc w:val="both"/>
      </w:pPr>
    </w:p>
    <w:p w:rsidR="00236B4A" w:rsidRPr="00E95BA9" w:rsidRDefault="00236B4A" w:rsidP="00E95BA9">
      <w:pPr>
        <w:jc w:val="both"/>
      </w:pPr>
    </w:p>
    <w:sectPr w:rsidR="00236B4A" w:rsidRPr="00E95BA9" w:rsidSect="003708D3">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6B4A" w:rsidRDefault="00236B4A" w:rsidP="0083773E">
      <w:pPr>
        <w:spacing w:after="0" w:line="240" w:lineRule="auto"/>
      </w:pPr>
      <w:r>
        <w:separator/>
      </w:r>
    </w:p>
  </w:endnote>
  <w:endnote w:type="continuationSeparator" w:id="0">
    <w:p w:rsidR="00236B4A" w:rsidRDefault="00236B4A" w:rsidP="0083773E">
      <w:pPr>
        <w:spacing w:after="0" w:line="240" w:lineRule="auto"/>
      </w:pPr>
      <w:r>
        <w:continuationSeparator/>
      </w:r>
    </w:p>
  </w:endnote>
  <w:endnote w:id="1">
    <w:p w:rsidR="00236B4A" w:rsidRDefault="00236B4A">
      <w:pPr>
        <w:pStyle w:val="EndnoteText"/>
      </w:pPr>
      <w:r>
        <w:t>Sources :</w:t>
      </w:r>
    </w:p>
    <w:p w:rsidR="00236B4A" w:rsidRPr="00E95BA9" w:rsidRDefault="00236B4A" w:rsidP="00E95BA9">
      <w:pPr>
        <w:pStyle w:val="ListParagraph"/>
        <w:numPr>
          <w:ilvl w:val="0"/>
          <w:numId w:val="3"/>
        </w:numPr>
        <w:tabs>
          <w:tab w:val="left" w:pos="2445"/>
          <w:tab w:val="center" w:pos="4320"/>
        </w:tabs>
        <w:jc w:val="both"/>
        <w:rPr>
          <w:sz w:val="20"/>
          <w:szCs w:val="20"/>
          <w:lang w:val="fr-FR"/>
        </w:rPr>
      </w:pPr>
      <w:hyperlink r:id="rId1" w:history="1">
        <w:r w:rsidRPr="00E95BA9">
          <w:rPr>
            <w:rStyle w:val="Hyperlink"/>
            <w:color w:val="auto"/>
            <w:sz w:val="20"/>
            <w:szCs w:val="20"/>
            <w:u w:val="none"/>
            <w:lang w:val="fr-FR"/>
          </w:rPr>
          <w:t>https://fr.wikipedia.org/wiki/Modeste_Moussorgski</w:t>
        </w:r>
      </w:hyperlink>
    </w:p>
    <w:p w:rsidR="00236B4A" w:rsidRPr="00E95BA9" w:rsidRDefault="00236B4A" w:rsidP="00E95BA9">
      <w:pPr>
        <w:pStyle w:val="ListParagraph"/>
        <w:numPr>
          <w:ilvl w:val="0"/>
          <w:numId w:val="3"/>
        </w:numPr>
        <w:tabs>
          <w:tab w:val="left" w:pos="2445"/>
          <w:tab w:val="center" w:pos="4320"/>
        </w:tabs>
        <w:jc w:val="both"/>
        <w:rPr>
          <w:sz w:val="20"/>
          <w:szCs w:val="20"/>
          <w:lang w:val="fr-FR"/>
        </w:rPr>
      </w:pPr>
      <w:r w:rsidRPr="00E95BA9">
        <w:rPr>
          <w:sz w:val="20"/>
          <w:szCs w:val="20"/>
          <w:lang w:val="fr-FR"/>
        </w:rPr>
        <w:t>https://fr.wikipedia.org/wiki/Tableaux_d%27une_exposition</w:t>
      </w:r>
    </w:p>
    <w:p w:rsidR="00236B4A" w:rsidRPr="00E95BA9" w:rsidRDefault="00236B4A" w:rsidP="00E95BA9">
      <w:pPr>
        <w:pStyle w:val="ListParagraph"/>
        <w:numPr>
          <w:ilvl w:val="0"/>
          <w:numId w:val="3"/>
        </w:numPr>
        <w:tabs>
          <w:tab w:val="left" w:pos="2445"/>
          <w:tab w:val="center" w:pos="4320"/>
        </w:tabs>
        <w:jc w:val="both"/>
        <w:rPr>
          <w:sz w:val="20"/>
          <w:szCs w:val="20"/>
          <w:lang w:val="fr-FR"/>
        </w:rPr>
      </w:pPr>
      <w:r w:rsidRPr="00E95BA9">
        <w:rPr>
          <w:sz w:val="20"/>
          <w:szCs w:val="20"/>
          <w:lang w:val="fr-FR"/>
        </w:rPr>
        <w:t xml:space="preserve">http://webtv.saxopen.com/event/rethinking-reductions-concertante-by-marius-concertante/ </w:t>
      </w:r>
    </w:p>
    <w:p w:rsidR="00236B4A" w:rsidRPr="00E95BA9" w:rsidRDefault="00236B4A" w:rsidP="00E95BA9">
      <w:pPr>
        <w:pStyle w:val="ListParagraph"/>
        <w:numPr>
          <w:ilvl w:val="0"/>
          <w:numId w:val="3"/>
        </w:numPr>
        <w:tabs>
          <w:tab w:val="left" w:pos="2445"/>
          <w:tab w:val="center" w:pos="4320"/>
        </w:tabs>
        <w:jc w:val="both"/>
        <w:rPr>
          <w:sz w:val="20"/>
          <w:szCs w:val="20"/>
          <w:lang w:val="fr-FR"/>
        </w:rPr>
      </w:pPr>
      <w:hyperlink r:id="rId2" w:history="1">
        <w:r w:rsidRPr="00E95BA9">
          <w:rPr>
            <w:rStyle w:val="Hyperlink"/>
            <w:color w:val="auto"/>
            <w:sz w:val="20"/>
            <w:szCs w:val="20"/>
            <w:u w:val="none"/>
            <w:lang w:val="fr-FR"/>
          </w:rPr>
          <w:t>https://fr.wikipedia.org/wiki/Marius_Constant</w:t>
        </w:r>
      </w:hyperlink>
    </w:p>
    <w:p w:rsidR="00236B4A" w:rsidRPr="00E95BA9" w:rsidRDefault="00236B4A" w:rsidP="00E95BA9">
      <w:pPr>
        <w:pStyle w:val="ListParagraph"/>
        <w:numPr>
          <w:ilvl w:val="0"/>
          <w:numId w:val="3"/>
        </w:numPr>
        <w:tabs>
          <w:tab w:val="left" w:pos="2445"/>
          <w:tab w:val="center" w:pos="4320"/>
        </w:tabs>
        <w:jc w:val="both"/>
        <w:rPr>
          <w:sz w:val="20"/>
          <w:szCs w:val="20"/>
        </w:rPr>
      </w:pPr>
      <w:hyperlink r:id="rId3" w:history="1">
        <w:r w:rsidRPr="00E95BA9">
          <w:rPr>
            <w:rStyle w:val="Hyperlink"/>
            <w:rFonts w:cs="Arial"/>
            <w:color w:val="auto"/>
            <w:sz w:val="20"/>
            <w:szCs w:val="20"/>
            <w:u w:val="none"/>
            <w:shd w:val="clear" w:color="auto" w:fill="F5F5F5"/>
          </w:rPr>
          <w:t>http://www.mdpublications.fr/fr/getfile/?id=37&amp;h=5shjojukl8qitphlks2of9jo93</w:t>
        </w:r>
      </w:hyperlink>
    </w:p>
    <w:p w:rsidR="00236B4A" w:rsidRDefault="00236B4A" w:rsidP="00E95BA9">
      <w:pPr>
        <w:pStyle w:val="ListParagraph"/>
        <w:numPr>
          <w:ilvl w:val="0"/>
          <w:numId w:val="3"/>
        </w:numPr>
        <w:tabs>
          <w:tab w:val="left" w:pos="2445"/>
          <w:tab w:val="center" w:pos="4320"/>
        </w:tabs>
        <w:jc w:val="both"/>
      </w:pPr>
      <w:hyperlink r:id="rId4" w:history="1">
        <w:r w:rsidRPr="00E95BA9">
          <w:rPr>
            <w:rStyle w:val="Hyperlink"/>
            <w:rFonts w:cs="Arial"/>
            <w:color w:val="auto"/>
            <w:sz w:val="20"/>
            <w:szCs w:val="20"/>
            <w:u w:val="none"/>
            <w:shd w:val="clear" w:color="auto" w:fill="F5F5F5"/>
          </w:rPr>
          <w:t>http://www.mdpublications.fr/fr/getfile/?id=124&amp;h=0tmcqb76dcnalc3qgqbhho7eu4</w:t>
        </w:r>
      </w:hyperlink>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6B4A" w:rsidRDefault="00236B4A" w:rsidP="0083773E">
      <w:pPr>
        <w:spacing w:after="0" w:line="240" w:lineRule="auto"/>
      </w:pPr>
      <w:r>
        <w:separator/>
      </w:r>
    </w:p>
  </w:footnote>
  <w:footnote w:type="continuationSeparator" w:id="0">
    <w:p w:rsidR="00236B4A" w:rsidRDefault="00236B4A" w:rsidP="0083773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4A" w:rsidRDefault="00236B4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61CFF"/>
    <w:multiLevelType w:val="hybridMultilevel"/>
    <w:tmpl w:val="4162B6DC"/>
    <w:lvl w:ilvl="0" w:tplc="0C0C000F">
      <w:start w:val="1"/>
      <w:numFmt w:val="decimal"/>
      <w:lvlText w:val="%1."/>
      <w:lvlJc w:val="left"/>
      <w:pPr>
        <w:ind w:left="720" w:hanging="360"/>
      </w:pPr>
      <w:rPr>
        <w:rFonts w:cs="Times New Roman" w:hint="default"/>
      </w:rPr>
    </w:lvl>
    <w:lvl w:ilvl="1" w:tplc="0C0C0019" w:tentative="1">
      <w:start w:val="1"/>
      <w:numFmt w:val="lowerLetter"/>
      <w:lvlText w:val="%2."/>
      <w:lvlJc w:val="left"/>
      <w:pPr>
        <w:ind w:left="1440" w:hanging="360"/>
      </w:pPr>
      <w:rPr>
        <w:rFonts w:cs="Times New Roman"/>
      </w:rPr>
    </w:lvl>
    <w:lvl w:ilvl="2" w:tplc="0C0C001B" w:tentative="1">
      <w:start w:val="1"/>
      <w:numFmt w:val="lowerRoman"/>
      <w:lvlText w:val="%3."/>
      <w:lvlJc w:val="right"/>
      <w:pPr>
        <w:ind w:left="2160" w:hanging="180"/>
      </w:pPr>
      <w:rPr>
        <w:rFonts w:cs="Times New Roman"/>
      </w:rPr>
    </w:lvl>
    <w:lvl w:ilvl="3" w:tplc="0C0C000F" w:tentative="1">
      <w:start w:val="1"/>
      <w:numFmt w:val="decimal"/>
      <w:lvlText w:val="%4."/>
      <w:lvlJc w:val="left"/>
      <w:pPr>
        <w:ind w:left="2880" w:hanging="360"/>
      </w:pPr>
      <w:rPr>
        <w:rFonts w:cs="Times New Roman"/>
      </w:rPr>
    </w:lvl>
    <w:lvl w:ilvl="4" w:tplc="0C0C0019" w:tentative="1">
      <w:start w:val="1"/>
      <w:numFmt w:val="lowerLetter"/>
      <w:lvlText w:val="%5."/>
      <w:lvlJc w:val="left"/>
      <w:pPr>
        <w:ind w:left="3600" w:hanging="360"/>
      </w:pPr>
      <w:rPr>
        <w:rFonts w:cs="Times New Roman"/>
      </w:rPr>
    </w:lvl>
    <w:lvl w:ilvl="5" w:tplc="0C0C001B" w:tentative="1">
      <w:start w:val="1"/>
      <w:numFmt w:val="lowerRoman"/>
      <w:lvlText w:val="%6."/>
      <w:lvlJc w:val="right"/>
      <w:pPr>
        <w:ind w:left="4320" w:hanging="180"/>
      </w:pPr>
      <w:rPr>
        <w:rFonts w:cs="Times New Roman"/>
      </w:rPr>
    </w:lvl>
    <w:lvl w:ilvl="6" w:tplc="0C0C000F" w:tentative="1">
      <w:start w:val="1"/>
      <w:numFmt w:val="decimal"/>
      <w:lvlText w:val="%7."/>
      <w:lvlJc w:val="left"/>
      <w:pPr>
        <w:ind w:left="5040" w:hanging="360"/>
      </w:pPr>
      <w:rPr>
        <w:rFonts w:cs="Times New Roman"/>
      </w:rPr>
    </w:lvl>
    <w:lvl w:ilvl="7" w:tplc="0C0C0019" w:tentative="1">
      <w:start w:val="1"/>
      <w:numFmt w:val="lowerLetter"/>
      <w:lvlText w:val="%8."/>
      <w:lvlJc w:val="left"/>
      <w:pPr>
        <w:ind w:left="5760" w:hanging="360"/>
      </w:pPr>
      <w:rPr>
        <w:rFonts w:cs="Times New Roman"/>
      </w:rPr>
    </w:lvl>
    <w:lvl w:ilvl="8" w:tplc="0C0C001B" w:tentative="1">
      <w:start w:val="1"/>
      <w:numFmt w:val="lowerRoman"/>
      <w:lvlText w:val="%9."/>
      <w:lvlJc w:val="right"/>
      <w:pPr>
        <w:ind w:left="6480" w:hanging="180"/>
      </w:pPr>
      <w:rPr>
        <w:rFonts w:cs="Times New Roman"/>
      </w:rPr>
    </w:lvl>
  </w:abstractNum>
  <w:abstractNum w:abstractNumId="1">
    <w:nsid w:val="3E67440F"/>
    <w:multiLevelType w:val="hybridMultilevel"/>
    <w:tmpl w:val="A4F2513A"/>
    <w:lvl w:ilvl="0" w:tplc="F48C34C4">
      <w:start w:val="14"/>
      <w:numFmt w:val="bullet"/>
      <w:lvlText w:val="-"/>
      <w:lvlJc w:val="left"/>
      <w:pPr>
        <w:ind w:left="720" w:hanging="360"/>
      </w:pPr>
      <w:rPr>
        <w:rFonts w:ascii="Calibri" w:eastAsia="Times New Roman" w:hAnsi="Calibri" w:hint="default"/>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5B7675F3"/>
    <w:multiLevelType w:val="hybridMultilevel"/>
    <w:tmpl w:val="158A9178"/>
    <w:lvl w:ilvl="0" w:tplc="0C0C000F">
      <w:start w:val="1"/>
      <w:numFmt w:val="decimal"/>
      <w:lvlText w:val="%1."/>
      <w:lvlJc w:val="left"/>
      <w:pPr>
        <w:ind w:left="720" w:hanging="360"/>
      </w:pPr>
      <w:rPr>
        <w:rFonts w:cs="Times New Roman" w:hint="default"/>
      </w:rPr>
    </w:lvl>
    <w:lvl w:ilvl="1" w:tplc="0C0C0019" w:tentative="1">
      <w:start w:val="1"/>
      <w:numFmt w:val="lowerLetter"/>
      <w:lvlText w:val="%2."/>
      <w:lvlJc w:val="left"/>
      <w:pPr>
        <w:ind w:left="1440" w:hanging="360"/>
      </w:pPr>
      <w:rPr>
        <w:rFonts w:cs="Times New Roman"/>
      </w:rPr>
    </w:lvl>
    <w:lvl w:ilvl="2" w:tplc="0C0C001B" w:tentative="1">
      <w:start w:val="1"/>
      <w:numFmt w:val="lowerRoman"/>
      <w:lvlText w:val="%3."/>
      <w:lvlJc w:val="right"/>
      <w:pPr>
        <w:ind w:left="2160" w:hanging="180"/>
      </w:pPr>
      <w:rPr>
        <w:rFonts w:cs="Times New Roman"/>
      </w:rPr>
    </w:lvl>
    <w:lvl w:ilvl="3" w:tplc="0C0C000F" w:tentative="1">
      <w:start w:val="1"/>
      <w:numFmt w:val="decimal"/>
      <w:lvlText w:val="%4."/>
      <w:lvlJc w:val="left"/>
      <w:pPr>
        <w:ind w:left="2880" w:hanging="360"/>
      </w:pPr>
      <w:rPr>
        <w:rFonts w:cs="Times New Roman"/>
      </w:rPr>
    </w:lvl>
    <w:lvl w:ilvl="4" w:tplc="0C0C0019" w:tentative="1">
      <w:start w:val="1"/>
      <w:numFmt w:val="lowerLetter"/>
      <w:lvlText w:val="%5."/>
      <w:lvlJc w:val="left"/>
      <w:pPr>
        <w:ind w:left="3600" w:hanging="360"/>
      </w:pPr>
      <w:rPr>
        <w:rFonts w:cs="Times New Roman"/>
      </w:rPr>
    </w:lvl>
    <w:lvl w:ilvl="5" w:tplc="0C0C001B" w:tentative="1">
      <w:start w:val="1"/>
      <w:numFmt w:val="lowerRoman"/>
      <w:lvlText w:val="%6."/>
      <w:lvlJc w:val="right"/>
      <w:pPr>
        <w:ind w:left="4320" w:hanging="180"/>
      </w:pPr>
      <w:rPr>
        <w:rFonts w:cs="Times New Roman"/>
      </w:rPr>
    </w:lvl>
    <w:lvl w:ilvl="6" w:tplc="0C0C000F" w:tentative="1">
      <w:start w:val="1"/>
      <w:numFmt w:val="decimal"/>
      <w:lvlText w:val="%7."/>
      <w:lvlJc w:val="left"/>
      <w:pPr>
        <w:ind w:left="5040" w:hanging="360"/>
      </w:pPr>
      <w:rPr>
        <w:rFonts w:cs="Times New Roman"/>
      </w:rPr>
    </w:lvl>
    <w:lvl w:ilvl="7" w:tplc="0C0C0019" w:tentative="1">
      <w:start w:val="1"/>
      <w:numFmt w:val="lowerLetter"/>
      <w:lvlText w:val="%8."/>
      <w:lvlJc w:val="left"/>
      <w:pPr>
        <w:ind w:left="5760" w:hanging="360"/>
      </w:pPr>
      <w:rPr>
        <w:rFonts w:cs="Times New Roman"/>
      </w:rPr>
    </w:lvl>
    <w:lvl w:ilvl="8" w:tplc="0C0C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773E"/>
    <w:rsid w:val="000321AD"/>
    <w:rsid w:val="00140AFB"/>
    <w:rsid w:val="00153383"/>
    <w:rsid w:val="00173685"/>
    <w:rsid w:val="001D600E"/>
    <w:rsid w:val="001E775A"/>
    <w:rsid w:val="002150D1"/>
    <w:rsid w:val="00236031"/>
    <w:rsid w:val="00236B4A"/>
    <w:rsid w:val="003003C8"/>
    <w:rsid w:val="00327DF4"/>
    <w:rsid w:val="003708D3"/>
    <w:rsid w:val="003B6E31"/>
    <w:rsid w:val="004475C8"/>
    <w:rsid w:val="005F3FBB"/>
    <w:rsid w:val="0072523E"/>
    <w:rsid w:val="007910D3"/>
    <w:rsid w:val="007C3EE7"/>
    <w:rsid w:val="0083773E"/>
    <w:rsid w:val="00846C03"/>
    <w:rsid w:val="00991617"/>
    <w:rsid w:val="00B316A2"/>
    <w:rsid w:val="00C55F7D"/>
    <w:rsid w:val="00CA0296"/>
    <w:rsid w:val="00D36182"/>
    <w:rsid w:val="00D744FC"/>
    <w:rsid w:val="00E95BA9"/>
    <w:rsid w:val="00EA05B5"/>
    <w:rsid w:val="00ED480C"/>
    <w:rsid w:val="00F57254"/>
    <w:rsid w:val="00F71BB2"/>
    <w:rsid w:val="00FA46E1"/>
    <w:rsid w:val="00FC2C2D"/>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C2D"/>
    <w:pPr>
      <w:spacing w:after="200" w:line="276" w:lineRule="auto"/>
    </w:pPr>
    <w:rPr>
      <w:lang w:val="fr-CA"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83773E"/>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83773E"/>
    <w:rPr>
      <w:rFonts w:cs="Times New Roman"/>
      <w:sz w:val="20"/>
      <w:szCs w:val="20"/>
    </w:rPr>
  </w:style>
  <w:style w:type="character" w:styleId="FootnoteReference">
    <w:name w:val="footnote reference"/>
    <w:basedOn w:val="DefaultParagraphFont"/>
    <w:uiPriority w:val="99"/>
    <w:semiHidden/>
    <w:rsid w:val="0083773E"/>
    <w:rPr>
      <w:rFonts w:cs="Times New Roman"/>
      <w:vertAlign w:val="superscript"/>
    </w:rPr>
  </w:style>
  <w:style w:type="character" w:styleId="Hyperlink">
    <w:name w:val="Hyperlink"/>
    <w:basedOn w:val="DefaultParagraphFont"/>
    <w:uiPriority w:val="99"/>
    <w:rsid w:val="00D744FC"/>
    <w:rPr>
      <w:rFonts w:cs="Times New Roman"/>
      <w:color w:val="0000FF"/>
      <w:u w:val="single"/>
    </w:rPr>
  </w:style>
  <w:style w:type="paragraph" w:styleId="BalloonText">
    <w:name w:val="Balloon Text"/>
    <w:basedOn w:val="Normal"/>
    <w:link w:val="BalloonTextChar"/>
    <w:uiPriority w:val="99"/>
    <w:semiHidden/>
    <w:rsid w:val="003708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08D3"/>
    <w:rPr>
      <w:rFonts w:ascii="Tahoma" w:hAnsi="Tahoma" w:cs="Tahoma"/>
      <w:sz w:val="16"/>
      <w:szCs w:val="16"/>
    </w:rPr>
  </w:style>
  <w:style w:type="paragraph" w:styleId="ListParagraph">
    <w:name w:val="List Paragraph"/>
    <w:basedOn w:val="Normal"/>
    <w:uiPriority w:val="99"/>
    <w:qFormat/>
    <w:rsid w:val="00153383"/>
    <w:pPr>
      <w:ind w:left="720"/>
      <w:contextualSpacing/>
    </w:pPr>
  </w:style>
  <w:style w:type="paragraph" w:styleId="Header">
    <w:name w:val="header"/>
    <w:basedOn w:val="Normal"/>
    <w:link w:val="HeaderChar"/>
    <w:uiPriority w:val="99"/>
    <w:rsid w:val="00EA05B5"/>
    <w:pPr>
      <w:tabs>
        <w:tab w:val="center" w:pos="4320"/>
        <w:tab w:val="right" w:pos="8640"/>
      </w:tabs>
      <w:spacing w:after="0" w:line="240" w:lineRule="auto"/>
    </w:pPr>
  </w:style>
  <w:style w:type="character" w:customStyle="1" w:styleId="HeaderChar">
    <w:name w:val="Header Char"/>
    <w:basedOn w:val="DefaultParagraphFont"/>
    <w:link w:val="Header"/>
    <w:uiPriority w:val="99"/>
    <w:locked/>
    <w:rsid w:val="00EA05B5"/>
    <w:rPr>
      <w:rFonts w:cs="Times New Roman"/>
    </w:rPr>
  </w:style>
  <w:style w:type="paragraph" w:styleId="Footer">
    <w:name w:val="footer"/>
    <w:basedOn w:val="Normal"/>
    <w:link w:val="FooterChar"/>
    <w:uiPriority w:val="99"/>
    <w:rsid w:val="00EA05B5"/>
    <w:pPr>
      <w:tabs>
        <w:tab w:val="center" w:pos="4320"/>
        <w:tab w:val="right" w:pos="8640"/>
      </w:tabs>
      <w:spacing w:after="0" w:line="240" w:lineRule="auto"/>
    </w:pPr>
  </w:style>
  <w:style w:type="character" w:customStyle="1" w:styleId="FooterChar">
    <w:name w:val="Footer Char"/>
    <w:basedOn w:val="DefaultParagraphFont"/>
    <w:link w:val="Footer"/>
    <w:uiPriority w:val="99"/>
    <w:locked/>
    <w:rsid w:val="00EA05B5"/>
    <w:rPr>
      <w:rFonts w:cs="Times New Roman"/>
    </w:rPr>
  </w:style>
  <w:style w:type="paragraph" w:styleId="EndnoteText">
    <w:name w:val="endnote text"/>
    <w:basedOn w:val="Normal"/>
    <w:link w:val="EndnoteTextChar"/>
    <w:uiPriority w:val="99"/>
    <w:semiHidden/>
    <w:rsid w:val="00E95BA9"/>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E95BA9"/>
    <w:rPr>
      <w:rFonts w:cs="Times New Roman"/>
      <w:sz w:val="20"/>
      <w:szCs w:val="20"/>
    </w:rPr>
  </w:style>
  <w:style w:type="character" w:styleId="EndnoteReference">
    <w:name w:val="endnote reference"/>
    <w:basedOn w:val="DefaultParagraphFont"/>
    <w:uiPriority w:val="99"/>
    <w:semiHidden/>
    <w:rsid w:val="00E95BA9"/>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7323919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mdpublications.fr/fr/getfile/?id=37&amp;h=5shjojukl8qitphlks2of9jo93" TargetMode="External"/><Relationship Id="rId2" Type="http://schemas.openxmlformats.org/officeDocument/2006/relationships/hyperlink" Target="https://fr.wikipedia.org/wiki/Marius_Constant" TargetMode="External"/><Relationship Id="rId1" Type="http://schemas.openxmlformats.org/officeDocument/2006/relationships/hyperlink" Target="https://fr.wikipedia.org/wiki/Modeste_Moussorgski" TargetMode="External"/><Relationship Id="rId4" Type="http://schemas.openxmlformats.org/officeDocument/2006/relationships/hyperlink" Target="http://www.mdpublications.fr/fr/getfile/?id=124&amp;h=0tmcqb76dcnalc3qgqbhho7eu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625</Words>
  <Characters>3442</Characters>
  <Application>Microsoft Office Outlook</Application>
  <DocSecurity>0</DocSecurity>
  <Lines>0</Lines>
  <Paragraphs>0</Paragraphs>
  <ScaleCrop>false</ScaleCrop>
  <Company>Universite du Quebec a Montreal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Notes de programme</dc:title>
  <dc:subject/>
  <dc:creator>Profil</dc:creator>
  <cp:keywords/>
  <dc:description/>
  <cp:lastModifiedBy> </cp:lastModifiedBy>
  <cp:revision>2</cp:revision>
  <cp:lastPrinted>2017-12-14T01:27:00Z</cp:lastPrinted>
  <dcterms:created xsi:type="dcterms:W3CDTF">2017-12-16T02:20:00Z</dcterms:created>
  <dcterms:modified xsi:type="dcterms:W3CDTF">2017-12-16T02:20:00Z</dcterms:modified>
</cp:coreProperties>
</file>